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新疆农业大学2024年教研教改项目申报指南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项目所属类别：</w:t>
      </w:r>
      <w:r>
        <w:rPr>
          <w:rFonts w:hint="eastAsia" w:ascii="仿宋_GB2312" w:hAnsi="仿宋_GB2312" w:eastAsia="仿宋_GB2312" w:cs="仿宋_GB2312"/>
          <w:sz w:val="28"/>
          <w:szCs w:val="28"/>
          <w:lang w:val="en-US" w:eastAsia="zh-CN"/>
        </w:rPr>
        <w:t>新疆农业大学教研教改项目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项目立项年度：</w:t>
      </w:r>
      <w:r>
        <w:rPr>
          <w:rFonts w:hint="eastAsia" w:ascii="仿宋_GB2312" w:hAnsi="仿宋_GB2312" w:eastAsia="仿宋_GB2312" w:cs="仿宋_GB2312"/>
          <w:sz w:val="28"/>
          <w:szCs w:val="28"/>
          <w:lang w:val="en-US" w:eastAsia="zh-CN"/>
        </w:rPr>
        <w:t>2024年</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项目级别：</w:t>
      </w:r>
      <w:r>
        <w:rPr>
          <w:rFonts w:hint="eastAsia" w:ascii="仿宋_GB2312" w:hAnsi="仿宋_GB2312" w:eastAsia="仿宋_GB2312" w:cs="仿宋_GB2312"/>
          <w:sz w:val="28"/>
          <w:szCs w:val="28"/>
          <w:lang w:val="en-US" w:eastAsia="zh-CN"/>
        </w:rPr>
        <w:t>校级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项目类型：</w:t>
      </w:r>
      <w:r>
        <w:rPr>
          <w:rFonts w:hint="eastAsia" w:ascii="仿宋_GB2312" w:hAnsi="仿宋_GB2312" w:eastAsia="仿宋_GB2312" w:cs="仿宋_GB2312"/>
          <w:sz w:val="28"/>
          <w:szCs w:val="28"/>
          <w:lang w:val="en-US" w:eastAsia="zh-CN"/>
        </w:rPr>
        <w:t>综合教改、普通教改、专项教改（优质课程专项、校企共建课程、耕读教育研究、课程思政示范课）等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特别提示：</w:t>
      </w:r>
      <w:r>
        <w:rPr>
          <w:rFonts w:hint="eastAsia" w:ascii="仿宋_GB2312" w:hAnsi="仿宋_GB2312" w:eastAsia="仿宋_GB2312" w:cs="仿宋_GB2312"/>
          <w:sz w:val="28"/>
          <w:szCs w:val="28"/>
          <w:lang w:val="en-US" w:eastAsia="zh-CN"/>
        </w:rPr>
        <w:t>自2024年起，结题的教研教改项目要强化研究成果应用，各项目研究团队须注重教研成果的推广运用，学校将按学期抽查</w:t>
      </w:r>
      <w:r>
        <w:rPr>
          <w:rFonts w:hint="eastAsia" w:ascii="仿宋_GB2312" w:hAnsi="仿宋_GB2312" w:eastAsia="仿宋_GB2312" w:cs="仿宋_GB2312"/>
          <w:b/>
          <w:bCs/>
          <w:sz w:val="28"/>
          <w:szCs w:val="28"/>
          <w:lang w:val="en-US" w:eastAsia="zh-CN"/>
        </w:rPr>
        <w:t>教研成果应用成效报告</w:t>
      </w:r>
      <w:r>
        <w:rPr>
          <w:rFonts w:hint="eastAsia" w:ascii="仿宋_GB2312" w:hAnsi="仿宋_GB2312" w:eastAsia="仿宋_GB2312" w:cs="仿宋_GB2312"/>
          <w:sz w:val="28"/>
          <w:szCs w:val="28"/>
          <w:lang w:val="en-US" w:eastAsia="zh-CN"/>
        </w:rPr>
        <w:t>，对教研成效甚微的项目团队将限制其申报各级各类教学项目。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一、综合教改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此类项目要求有理论基础研究、高校对比分析，结合我校实践方案、实践运行情况，对校院重大教学建设事项进行综合改革研究，有可推广的实施效果分析和总结报告。由单位领导、系室主任、教学名师能手、专业负责人、骨干教师负责组织实施，原则上申报人须有高级职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深入领会习近平总书记在全国教育大会的讲话精神，扎实落实全国教育工作会议要求，研究疆内外高校同行发展之路，紧密结合我校实际，扬优势，补短板，特色发展，重点针对人才培养模式创新、实践育人模式创新、专业建设、师资队伍建设、教育数字化转型等方面开展实践与创新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以学校、院部、专业类、课程类、系室等为研究对象或建设单位，要求研究方向明确，改革建设内容饱满，项目目标与工作内容明确，预期成效明显，有可能形成教学成果的项目拟优先支持。此类项目以是否公开发表教研教改论文作为必要条件之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项目周期：</w:t>
      </w:r>
      <w:r>
        <w:rPr>
          <w:rFonts w:hint="eastAsia" w:ascii="仿宋_GB2312" w:hAnsi="仿宋_GB2312" w:eastAsia="仿宋_GB2312" w:cs="仿宋_GB2312"/>
          <w:sz w:val="28"/>
          <w:szCs w:val="28"/>
          <w:lang w:val="en-US" w:eastAsia="zh-CN"/>
        </w:rPr>
        <w:t>2-3年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立项数量：</w:t>
      </w:r>
      <w:r>
        <w:rPr>
          <w:rFonts w:hint="eastAsia" w:ascii="仿宋_GB2312" w:hAnsi="仿宋_GB2312" w:eastAsia="仿宋_GB2312" w:cs="仿宋_GB2312"/>
          <w:sz w:val="28"/>
          <w:szCs w:val="28"/>
          <w:lang w:val="en-US" w:eastAsia="zh-CN"/>
        </w:rPr>
        <w:t>8-15项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经费额度：</w:t>
      </w:r>
      <w:r>
        <w:rPr>
          <w:rFonts w:hint="eastAsia" w:ascii="仿宋_GB2312" w:hAnsi="仿宋_GB2312" w:eastAsia="仿宋_GB2312" w:cs="仿宋_GB2312"/>
          <w:sz w:val="28"/>
          <w:szCs w:val="28"/>
          <w:lang w:val="en-US" w:eastAsia="zh-CN"/>
        </w:rPr>
        <w:t>1-3万元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成果形式：</w:t>
      </w:r>
      <w:r>
        <w:rPr>
          <w:rFonts w:hint="eastAsia" w:ascii="仿宋_GB2312" w:hAnsi="仿宋_GB2312" w:eastAsia="仿宋_GB2312" w:cs="仿宋_GB2312"/>
          <w:sz w:val="28"/>
          <w:szCs w:val="28"/>
          <w:lang w:val="en-US" w:eastAsia="zh-CN"/>
        </w:rPr>
        <w:t>教研论文、研究报告、案例库、教师培训等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推荐选题方向：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1.智慧农业复合应用型人才培养实践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2.学院（系室或某专业）整体推进项目制教学方案与实践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3.工程教育专业认证或农科类专业认证准备与申报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4.不同类别专业公共课程设置改革方案研究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5.人才分类培养体系建设研究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6.校企合作/产教融合/科教融汇机制构建与实践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7.订单班/拔尖班/创新班自主培养模式研究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8.教师/学生创新能力培养体系建设与实践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9.教师教学激励体系构建与实践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10.学院青年教师+研究生+优秀本科生的助教制度建设与实践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11.专业类特色品牌打造、推广示范及成效研究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12.学院本科教学外聘师资队伍建设模式与实践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13.专业质量评价标准与绩效评价方法研究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14.本科教学高质量发展体制机制创新研究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15.“四新”建设背景下专业融合培养机制探索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16.通识教育的内涵、体系构架与实施路径研究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17.支撑“八大产业集群”的专业布局优化与实践路径研究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18.高校教育数字化转型发展机制与实施路径研究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19.智慧教学中心构建与实施路径探索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20.以赛促教 以赛促学 以赛促改 以赛促建目标达成度研究</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21.教学成果奖培育项目</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特殊说明：第21条所示项目仅用于校内教学成果奖培育，申报该项请参考文件</w:t>
      </w:r>
      <w:r>
        <w:rPr>
          <w:rFonts w:hint="eastAsia" w:ascii="仿宋_GB2312" w:hAnsi="仿宋_GB2312" w:eastAsia="仿宋_GB2312" w:cs="仿宋_GB2312"/>
          <w:b/>
          <w:bCs/>
          <w:sz w:val="28"/>
          <w:szCs w:val="28"/>
          <w:u w:val="single"/>
          <w:lang w:val="en-US" w:eastAsia="zh-CN"/>
        </w:rPr>
        <w:t>《关于申报教学成果奖培育项目的通知》（教务通知2023年第102号）</w:t>
      </w:r>
      <w:r>
        <w:rPr>
          <w:rFonts w:hint="eastAsia" w:ascii="仿宋_GB2312" w:hAnsi="仿宋_GB2312" w:eastAsia="仿宋_GB2312" w:cs="仿宋_GB2312"/>
          <w:b/>
          <w:bCs/>
          <w:sz w:val="28"/>
          <w:szCs w:val="28"/>
          <w:lang w:val="en-US" w:eastAsia="zh-CN"/>
        </w:rPr>
        <w:t>执行，获批立项建设的项目可同时认定为校级教研教改项目里的综合教改类。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二、普通教改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此类项目要求有明确的建设目标、建设内容、建设任务，预期对教育教学质量提升有明显的支撑和贡献。重点围绕课程资源建设、实践教学、学科竞赛、数据分析、决策支撑等教育教学领域开展申报。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支持基层教学组织建设，鼓励各单位加强教学基层组织建设，总结本单位系室工作中的成功经验，推动各系室开展教学研讨、课程建设与改革、教学团队建设、青年教师能力提升等工作。支持各单位研究教学数据，追踪教育教学成效和教学管理成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鼓励基于全校学生、教师和社会调研，采集教学相关数据，开展学情、师情、教情分析，剖析我校学生结构变化、专业招生结构变化、课程成绩变化特点、师资总量与学历职称分布特征，对比国内外高校，结合新农科、新工科、新文科发展需要，评价分析我校人才培养中的优劣势，研究我校教育教学发展潜力与可能的突破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项目周期：</w:t>
      </w:r>
      <w:r>
        <w:rPr>
          <w:rFonts w:hint="eastAsia" w:ascii="仿宋_GB2312" w:hAnsi="仿宋_GB2312" w:eastAsia="仿宋_GB2312" w:cs="仿宋_GB2312"/>
          <w:sz w:val="28"/>
          <w:szCs w:val="28"/>
          <w:lang w:val="en-US" w:eastAsia="zh-CN"/>
        </w:rPr>
        <w:t>1-2年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立项数量：</w:t>
      </w:r>
      <w:r>
        <w:rPr>
          <w:rFonts w:hint="eastAsia" w:ascii="仿宋_GB2312" w:hAnsi="仿宋_GB2312" w:eastAsia="仿宋_GB2312" w:cs="仿宋_GB2312"/>
          <w:sz w:val="28"/>
          <w:szCs w:val="28"/>
          <w:lang w:val="en-US" w:eastAsia="zh-CN"/>
        </w:rPr>
        <w:t>50项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经费额度：</w:t>
      </w:r>
      <w:r>
        <w:rPr>
          <w:rFonts w:hint="eastAsia" w:ascii="仿宋_GB2312" w:hAnsi="仿宋_GB2312" w:eastAsia="仿宋_GB2312" w:cs="仿宋_GB2312"/>
          <w:sz w:val="28"/>
          <w:szCs w:val="28"/>
          <w:lang w:val="en-US" w:eastAsia="zh-CN"/>
        </w:rPr>
        <w:t>0.2-0.5万元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成果形式：</w:t>
      </w:r>
      <w:r>
        <w:rPr>
          <w:rFonts w:hint="eastAsia" w:ascii="仿宋_GB2312" w:hAnsi="仿宋_GB2312" w:eastAsia="仿宋_GB2312" w:cs="仿宋_GB2312"/>
          <w:sz w:val="28"/>
          <w:szCs w:val="28"/>
          <w:lang w:val="en-US" w:eastAsia="zh-CN"/>
        </w:rPr>
        <w:t>教研论文、研究报告、课程、案例库、试题库、学生竞赛、多媒体资源等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推荐选题方向：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1.实验实践项目开发与实践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2.动植物标本、材料或图片库建设与应用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3.案例集、试题库、习题集建设与应用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4.智慧教学指导小视频的制作开发与推广应用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5.基层教学组织、专业虚拟教研室的建设与应用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6.校级或省级学科竞赛项目组织与实践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7.课程分级教学模式及成效研究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8.专业课实践教学体系构建及实践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9.实验课虚拟仿真资源建设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10.虚拟教学资源建设与开发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11.教师教学能力提升机制探究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12.“互联网+”背景下课堂教学质量提升模式改革研究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13.校企合作体制机制创新研究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14.专业课程体系整体优化与教学内容改革研究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15.创新创业融入专业课堂教学机制研究与实践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16.自编教材研究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17.“岗课赛证”四位一体课程教学改革探索与实践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18.学院学风建设方案与实践成效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19.学生考研动力分析及成效提升路径探索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20.不同生源、专业学生成绩变化特点与启示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21.不同类别、不同专业学生公共课成绩差异性分析与矫正方法研究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22.教师课堂管理方式与学生学习成效的关系研究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23.学业预警学生成长追踪分析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24.学生课下学习动力与监控管理机制研究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25.第二课堂提升学生综合素质机制研究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26.学生课堂抬头率观测及考勤数据分析对教学决策作用研究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27.业务系统、微服务、数据中台建设、信息化建设对教学决策的支撑力分析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28.心理健康教育、艺术审美教育、校园文化建设研究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29.创新创业、就业深造体系及成效研究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30.教师教学竞赛体系建设、运行机制研究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三、专项教改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（一）优质课程专项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鼓励我校教师建设优质线上、线下、线上线下混合式、虚拟仿真、社会实践课程，开发建设课程知识图谱。优先支持我校在全国或全疆具有影响力和竞争力的课程或者具有专业特色和地域特色的课程。重点支持项目制、任务式、混合式课程开发与建设。可借助校内“秾大云上”或已有的在线资源进行SPOC等线上线下混合式教学，对线上教学资源进行再造，形成适合我校学生的“金课”。要求课程目标与人才培养方案中培养目标衔接，课程设计导向明确，课程目标与教学内容紧密结合。线上教学资源适合课下辅助学生学习，形成激发学生课上课下主动思考的教学模式。过程考核有效，能形成多层面的学生评价。申请线上课程的，须成功建设线上课程，并实现在“超星泛雅”、“智慧树网”、“中国大学MOOC”等任何一个在线开放课程服务平台开放运行，完整运行两个教学周期且效果良好；申请建设线上线下混合式教学课程的，须在对应学期的课程教学运行中，做好相应设计并实际执行两个学期及以上；申请建设课程知识图谱的，须提供完整的数字化知识图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项目周期：</w:t>
      </w:r>
      <w:r>
        <w:rPr>
          <w:rFonts w:hint="eastAsia" w:ascii="仿宋_GB2312" w:hAnsi="仿宋_GB2312" w:eastAsia="仿宋_GB2312" w:cs="仿宋_GB2312"/>
          <w:sz w:val="28"/>
          <w:szCs w:val="28"/>
          <w:lang w:val="en-US" w:eastAsia="zh-CN"/>
        </w:rPr>
        <w:t>1-2年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立项数量：</w:t>
      </w:r>
      <w:r>
        <w:rPr>
          <w:rFonts w:hint="eastAsia" w:ascii="仿宋_GB2312" w:hAnsi="仿宋_GB2312" w:eastAsia="仿宋_GB2312" w:cs="仿宋_GB2312"/>
          <w:sz w:val="28"/>
          <w:szCs w:val="28"/>
          <w:lang w:val="en-US" w:eastAsia="zh-CN"/>
        </w:rPr>
        <w:t>30项（其中“线上课程”3项）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经费额度：</w:t>
      </w:r>
      <w:r>
        <w:rPr>
          <w:rFonts w:hint="eastAsia" w:ascii="仿宋_GB2312" w:hAnsi="仿宋_GB2312" w:eastAsia="仿宋_GB2312" w:cs="仿宋_GB2312"/>
          <w:sz w:val="28"/>
          <w:szCs w:val="28"/>
          <w:lang w:val="en-US" w:eastAsia="zh-CN"/>
        </w:rPr>
        <w:t>每项0.5万元（“线上课程”每项10万元）</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Theme="minorEastAsia"/>
          <w:sz w:val="20"/>
          <w:szCs w:val="22"/>
          <w:lang w:val="en-US" w:eastAsia="zh-CN"/>
        </w:rPr>
      </w:pPr>
      <w:r>
        <w:rPr>
          <w:rFonts w:hint="eastAsia" w:ascii="楷体" w:hAnsi="楷体" w:eastAsia="楷体" w:cs="楷体"/>
          <w:sz w:val="28"/>
          <w:szCs w:val="28"/>
          <w:lang w:val="en-US" w:eastAsia="zh-CN"/>
        </w:rPr>
        <w:t>成果形式：</w:t>
      </w:r>
      <w:r>
        <w:rPr>
          <w:rFonts w:hint="eastAsia" w:ascii="仿宋_GB2312" w:hAnsi="仿宋_GB2312" w:eastAsia="仿宋_GB2312" w:cs="仿宋_GB2312"/>
          <w:kern w:val="2"/>
          <w:sz w:val="28"/>
          <w:szCs w:val="28"/>
          <w:lang w:val="en-US" w:eastAsia="zh-CN" w:bidi="ar-SA"/>
        </w:rPr>
        <w:t>课程（完整课程资料须包含课程教学大纲、教学设计、教学资源等，线上课程部分需提交学生线上学习报告、试题库、讨论题库等）、知识图谱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推荐选题方向：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1.**课程全国线上公开课程开发与示范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2.**课程混合式教学实践与资源建设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3.学院整体推进混合式教学方案与实践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4.混合式教学实现路径及育人实效研究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5.智慧教研新生态下专业课程群知识图谱建设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6.**课程知识图谱建设与应用</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7.新疆农业大学混合式教学示范课程（10项）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特殊说明：第7条所示项目仅用于正式申请混合式教学的课程，申报该项请参考文件《新疆农业大学混合式教学管理暂行办法》（新农大教发〔2023〕12号）执行。2023年参照本文件已运行完成的课程，可参照管理办法进行</w:t>
      </w:r>
      <w:r>
        <w:rPr>
          <w:rFonts w:hint="default" w:ascii="仿宋_GB2312" w:hAnsi="仿宋_GB2312" w:eastAsia="仿宋_GB2312" w:cs="仿宋_GB2312"/>
          <w:b/>
          <w:bCs/>
          <w:sz w:val="28"/>
          <w:szCs w:val="28"/>
          <w:lang w:val="en-US" w:eastAsia="zh-CN"/>
        </w:rPr>
        <w:t>混合式教学课程认定评价</w:t>
      </w:r>
      <w:r>
        <w:rPr>
          <w:rFonts w:hint="eastAsia" w:ascii="仿宋_GB2312" w:hAnsi="仿宋_GB2312" w:eastAsia="仿宋_GB2312" w:cs="仿宋_GB2312"/>
          <w:b/>
          <w:bCs/>
          <w:sz w:val="28"/>
          <w:szCs w:val="28"/>
          <w:lang w:val="en-US" w:eastAsia="zh-CN"/>
        </w:rPr>
        <w:t>，学校从认定结果为“优秀”的课程中评选10门立为“新疆农业大学混合式教学示范课程”，获批认定的10门课程同时认定为校级教研教改项目里的优质课程专项类，认定一年后对课程做成果验收，符合验收结果的予以结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（二）校企共建课程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夯实“四新”教育理念，推进学校专业建设，主动契合行业对应用型人才培养实际需求，进一步提升学生实践创新能力，彰现专业特色，鼓励各学院广泛开展校企合作产教融合，充分挖掘企业课程项目与师资资源，广泛开展专业课程共授共建，联合组织课程建设研讨，制定项目开发任务与教学设计，采用企业成熟实践案例，由企业教师和学院教师联合授课，协同项目指导，提升课程建设的应用性和高阶性，激发学生学习热情，增强对企业运营机制的了解度。要求课程形成稳定的企业师资、明确的授课计划、长久的合作机制，校企共同打造完整课程。每个国家级一流本科专业建设点至少须立项2项，每个自治区级一流本科专业建设点至少须立项1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项目周期：</w:t>
      </w:r>
      <w:r>
        <w:rPr>
          <w:rFonts w:hint="eastAsia" w:ascii="仿宋_GB2312" w:hAnsi="仿宋_GB2312" w:eastAsia="仿宋_GB2312" w:cs="仿宋_GB2312"/>
          <w:sz w:val="28"/>
          <w:szCs w:val="28"/>
          <w:lang w:val="en-US" w:eastAsia="zh-CN"/>
        </w:rPr>
        <w:t>1年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立项数量：</w:t>
      </w:r>
      <w:r>
        <w:rPr>
          <w:rFonts w:hint="eastAsia" w:ascii="仿宋_GB2312" w:hAnsi="仿宋_GB2312" w:eastAsia="仿宋_GB2312" w:cs="仿宋_GB2312"/>
          <w:sz w:val="28"/>
          <w:szCs w:val="28"/>
          <w:lang w:val="en-US" w:eastAsia="zh-CN"/>
        </w:rPr>
        <w:t>50项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经费额度：</w:t>
      </w:r>
      <w:r>
        <w:rPr>
          <w:rFonts w:hint="eastAsia" w:ascii="仿宋_GB2312" w:hAnsi="仿宋_GB2312" w:eastAsia="仿宋_GB2312" w:cs="仿宋_GB2312"/>
          <w:sz w:val="28"/>
          <w:szCs w:val="28"/>
          <w:lang w:val="en-US" w:eastAsia="zh-CN"/>
        </w:rPr>
        <w:t>0.5万元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成果形式：</w:t>
      </w:r>
      <w:r>
        <w:rPr>
          <w:rFonts w:hint="eastAsia" w:ascii="仿宋_GB2312" w:hAnsi="仿宋_GB2312" w:eastAsia="仿宋_GB2312" w:cs="仿宋_GB2312"/>
          <w:sz w:val="28"/>
          <w:szCs w:val="28"/>
          <w:lang w:val="en-US" w:eastAsia="zh-CN"/>
        </w:rPr>
        <w:t>课程（须含完整课程资料）及研究报告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推荐选题方向：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1.**课程校企共建示范课程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2.**课程校企协同育人模式实践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3.**课程产教融合机制探索与实践</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（三）耕读教育研究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专项课题旨在以习近平新时代中国特色社会主义思想为指导，全面贯彻党的教育方针，落实立德树人根本任务，以课程实践和耕读传家为抓手，紧密结合现代农业发展和人才培养实际，积极探索新时代耕读教育新内涵、新模式，注重教育实效，培养高素质新型农林人才。坚持我校“屯垦戍边办大学，稳疆兴疆育人才”的办学方针，坚持立德树人根本任务，着力培养知农爱农新型人才，将农林专业的课堂开设到广袤的田野上，促进学生知识、能力、素质有机融合，形成解决农业农村复杂问题的综合能力。适应新一轮科技革命和产业变革，针对现代农业新业态新技术，针对新疆乡村振兴战略实施需求，深化产教融合、科教融汇，拓展耕读教育内涵与外延，创新卓越农林人才培养模式，积极推进新时代耕读教育的新探索新实践。结合各专业优势和特色，结合各地农业农村育人资源，吸取我校二十年来“支农劳动”的宝贵经验，健全完善协同育人机制，深度挖掘提炼耕读教育元素，构建各具特色的耕读教育模式，将耕读教育有机融入人才培养全过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项目周期：</w:t>
      </w:r>
      <w:r>
        <w:rPr>
          <w:rFonts w:hint="eastAsia" w:ascii="仿宋_GB2312" w:hAnsi="仿宋_GB2312" w:eastAsia="仿宋_GB2312" w:cs="仿宋_GB2312"/>
          <w:sz w:val="28"/>
          <w:szCs w:val="28"/>
          <w:lang w:val="en-US" w:eastAsia="zh-CN"/>
        </w:rPr>
        <w:t>1-2年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立项数量：</w:t>
      </w:r>
      <w:r>
        <w:rPr>
          <w:rFonts w:hint="eastAsia" w:ascii="仿宋_GB2312" w:hAnsi="仿宋_GB2312" w:eastAsia="仿宋_GB2312" w:cs="仿宋_GB2312"/>
          <w:sz w:val="28"/>
          <w:szCs w:val="28"/>
          <w:lang w:val="en-US" w:eastAsia="zh-CN"/>
        </w:rPr>
        <w:t>10-20项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经费额度：</w:t>
      </w:r>
      <w:r>
        <w:rPr>
          <w:rFonts w:hint="eastAsia" w:ascii="仿宋_GB2312" w:hAnsi="仿宋_GB2312" w:eastAsia="仿宋_GB2312" w:cs="仿宋_GB2312"/>
          <w:sz w:val="28"/>
          <w:szCs w:val="28"/>
          <w:lang w:val="en-US" w:eastAsia="zh-CN"/>
        </w:rPr>
        <w:t>0.3-0.5万元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成果形式：</w:t>
      </w:r>
      <w:r>
        <w:rPr>
          <w:rFonts w:hint="eastAsia" w:ascii="仿宋_GB2312" w:hAnsi="仿宋_GB2312" w:eastAsia="仿宋_GB2312" w:cs="仿宋_GB2312"/>
          <w:sz w:val="28"/>
          <w:szCs w:val="28"/>
          <w:lang w:val="en-US" w:eastAsia="zh-CN"/>
        </w:rPr>
        <w:t>课程（须含完整课程资料）、教研论文、研究报告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推荐选题方向：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1.乡村振兴背景下耕读教育的时代意蕴及其实施路径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2.以耕读教育为核心的劳动教育体系构建与实践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3.专业耕读教育提升学生核心专业竞争力机制研究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4.大国三农、耕读传家、农耕文明历史等耕读教育课程开发与实践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5.耕读导师队伍建设与发展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6.耕读教育实践基地运行模式探索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7.耕读校园文化传承与实践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8.耕读教育课程教材研究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9.耕读教育校院品牌打造及融合运用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10.耕读教育融入通识教育体系建设研究与实践</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（四）课程思政示范课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此类项目以思政浸润效果明显，育人效果突出的课程为目标，梳理各门专业课程所蕴含的思想政治教育元素和所承载的思想政治教育功能，融入课堂教学各环节，实现思想政治教育与专业知识体系教育的有机统一。要求项目负责人思政领悟能力强、价值导向健康，潜心教学，言传身教中体现高尚师德。项目重点开发思政案例并融入课堂教学，形成具体有特色的课程思政教案，课程教学中将育人理念、学生健康人格塑造、中华民族共同体意识、“红色基因”、“三农”情怀等有机融入教学内容，教学模式新颖，有效激发学生学习兴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项目周期：</w:t>
      </w:r>
      <w:r>
        <w:rPr>
          <w:rFonts w:hint="eastAsia" w:ascii="仿宋_GB2312" w:hAnsi="仿宋_GB2312" w:eastAsia="仿宋_GB2312" w:cs="仿宋_GB2312"/>
          <w:sz w:val="28"/>
          <w:szCs w:val="28"/>
          <w:lang w:val="en-US" w:eastAsia="zh-CN"/>
        </w:rPr>
        <w:t>2年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立项数量：</w:t>
      </w:r>
      <w:r>
        <w:rPr>
          <w:rFonts w:hint="eastAsia" w:ascii="仿宋_GB2312" w:hAnsi="仿宋_GB2312" w:eastAsia="仿宋_GB2312" w:cs="仿宋_GB2312"/>
          <w:sz w:val="28"/>
          <w:szCs w:val="28"/>
          <w:lang w:val="en-US" w:eastAsia="zh-CN"/>
        </w:rPr>
        <w:t>20项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经费额度：</w:t>
      </w:r>
      <w:r>
        <w:rPr>
          <w:rFonts w:hint="eastAsia" w:ascii="仿宋_GB2312" w:hAnsi="仿宋_GB2312" w:eastAsia="仿宋_GB2312" w:cs="仿宋_GB2312"/>
          <w:sz w:val="28"/>
          <w:szCs w:val="28"/>
          <w:lang w:val="en-US" w:eastAsia="zh-CN"/>
        </w:rPr>
        <w:t>0.5万元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成果形式：</w:t>
      </w:r>
      <w:r>
        <w:rPr>
          <w:rFonts w:hint="eastAsia" w:ascii="仿宋_GB2312" w:hAnsi="仿宋_GB2312" w:eastAsia="仿宋_GB2312" w:cs="仿宋_GB2312"/>
          <w:sz w:val="28"/>
          <w:szCs w:val="28"/>
          <w:lang w:val="en-US" w:eastAsia="zh-CN"/>
        </w:rPr>
        <w:t>课程（须含完整课程资料）、教研论文、研究报告等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 w:hAnsi="楷体" w:eastAsia="楷体" w:cs="楷体"/>
          <w:sz w:val="28"/>
          <w:szCs w:val="28"/>
          <w:lang w:val="en-US" w:eastAsia="zh-CN"/>
        </w:rPr>
        <w:t>特殊说明：</w:t>
      </w:r>
      <w:r>
        <w:rPr>
          <w:rFonts w:hint="eastAsia" w:ascii="仿宋_GB2312" w:hAnsi="仿宋_GB2312" w:eastAsia="仿宋_GB2312" w:cs="仿宋_GB2312"/>
          <w:b/>
          <w:bCs/>
          <w:sz w:val="28"/>
          <w:szCs w:val="28"/>
          <w:lang w:val="en-US" w:eastAsia="zh-CN"/>
        </w:rPr>
        <w:t>申报课程思政示范课，请参考文件</w:t>
      </w:r>
      <w:r>
        <w:rPr>
          <w:rFonts w:hint="eastAsia" w:ascii="仿宋_GB2312" w:hAnsi="仿宋_GB2312" w:eastAsia="仿宋_GB2312" w:cs="仿宋_GB2312"/>
          <w:b/>
          <w:bCs/>
          <w:sz w:val="28"/>
          <w:szCs w:val="28"/>
          <w:u w:val="single"/>
          <w:lang w:val="en-US" w:eastAsia="zh-CN"/>
        </w:rPr>
        <w:t>《关于开展新疆农业大学课程思政示范课、教学名师和教学团队评选活动的通知》（教务通知2023年第87号）</w:t>
      </w:r>
      <w:r>
        <w:rPr>
          <w:rFonts w:hint="eastAsia" w:ascii="仿宋_GB2312" w:hAnsi="仿宋_GB2312" w:eastAsia="仿宋_GB2312" w:cs="仿宋_GB2312"/>
          <w:b/>
          <w:bCs/>
          <w:sz w:val="28"/>
          <w:szCs w:val="28"/>
          <w:lang w:val="en-US" w:eastAsia="zh-CN"/>
        </w:rPr>
        <w:t>执行，获批立项建设的项目可同时认定为校级教研教改项目里的专项教改类。</w:t>
      </w:r>
      <w:r>
        <w:rPr>
          <w:rFonts w:hint="eastAsia" w:ascii="仿宋_GB2312" w:hAnsi="仿宋_GB2312" w:eastAsia="仿宋_GB2312" w:cs="仿宋_GB2312"/>
          <w:sz w:val="28"/>
          <w:szCs w:val="28"/>
          <w:lang w:val="en-US" w:eastAsia="zh-CN"/>
        </w:rPr>
        <w:t>建设成果突出的，授予课程思政教学名师和教学团队荣誉称号，并进行表彰。获得校级课程思政示范课的课程及教师优先推荐参加自治区课程思政示范课的评选。</w:t>
      </w: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ZGRkNjA4MjhmYTNhZTZiYTAwNzI2MTViNTI0MzgifQ=="/>
  </w:docVars>
  <w:rsids>
    <w:rsidRoot w:val="29B86643"/>
    <w:rsid w:val="00A3295D"/>
    <w:rsid w:val="010B22B0"/>
    <w:rsid w:val="0211000A"/>
    <w:rsid w:val="023A5F04"/>
    <w:rsid w:val="02E62FD5"/>
    <w:rsid w:val="03443858"/>
    <w:rsid w:val="03600692"/>
    <w:rsid w:val="03822CFE"/>
    <w:rsid w:val="03B44E81"/>
    <w:rsid w:val="04F25C61"/>
    <w:rsid w:val="05CC0260"/>
    <w:rsid w:val="05FD666C"/>
    <w:rsid w:val="060D2627"/>
    <w:rsid w:val="062C592F"/>
    <w:rsid w:val="066E7569"/>
    <w:rsid w:val="07854B6B"/>
    <w:rsid w:val="095347F5"/>
    <w:rsid w:val="096133B5"/>
    <w:rsid w:val="09B523E4"/>
    <w:rsid w:val="0A0A1357"/>
    <w:rsid w:val="0A1D651B"/>
    <w:rsid w:val="0A23066B"/>
    <w:rsid w:val="0AA07F0D"/>
    <w:rsid w:val="0AF33383"/>
    <w:rsid w:val="0BC01790"/>
    <w:rsid w:val="0D5D5C42"/>
    <w:rsid w:val="0D957AD2"/>
    <w:rsid w:val="0DDD3061"/>
    <w:rsid w:val="106A4A97"/>
    <w:rsid w:val="108F6A5A"/>
    <w:rsid w:val="10C04E65"/>
    <w:rsid w:val="10D206F5"/>
    <w:rsid w:val="1212080A"/>
    <w:rsid w:val="13144FF5"/>
    <w:rsid w:val="13CC58CF"/>
    <w:rsid w:val="163065E9"/>
    <w:rsid w:val="171657DF"/>
    <w:rsid w:val="171C6B6E"/>
    <w:rsid w:val="17255A22"/>
    <w:rsid w:val="17260B28"/>
    <w:rsid w:val="17742506"/>
    <w:rsid w:val="17AA4179"/>
    <w:rsid w:val="18581E27"/>
    <w:rsid w:val="187B174A"/>
    <w:rsid w:val="18BC5F12"/>
    <w:rsid w:val="18F41B50"/>
    <w:rsid w:val="195645B9"/>
    <w:rsid w:val="196640D0"/>
    <w:rsid w:val="1AF1728D"/>
    <w:rsid w:val="1B7326D3"/>
    <w:rsid w:val="1B872D57"/>
    <w:rsid w:val="1BA07D6D"/>
    <w:rsid w:val="1C8F393E"/>
    <w:rsid w:val="1CAD0994"/>
    <w:rsid w:val="1D8F0099"/>
    <w:rsid w:val="1E426EBA"/>
    <w:rsid w:val="1E821E95"/>
    <w:rsid w:val="1F430253"/>
    <w:rsid w:val="1FE04BDC"/>
    <w:rsid w:val="20174376"/>
    <w:rsid w:val="20474C5B"/>
    <w:rsid w:val="220E69EC"/>
    <w:rsid w:val="22DB168B"/>
    <w:rsid w:val="2378337E"/>
    <w:rsid w:val="23D762F6"/>
    <w:rsid w:val="24743B45"/>
    <w:rsid w:val="249529C9"/>
    <w:rsid w:val="24D34D10"/>
    <w:rsid w:val="25733DFD"/>
    <w:rsid w:val="25A71CF8"/>
    <w:rsid w:val="269C3827"/>
    <w:rsid w:val="27415585"/>
    <w:rsid w:val="2790513A"/>
    <w:rsid w:val="27AD249A"/>
    <w:rsid w:val="287E31E4"/>
    <w:rsid w:val="2956167E"/>
    <w:rsid w:val="296E14AB"/>
    <w:rsid w:val="29B86643"/>
    <w:rsid w:val="29FB2613"/>
    <w:rsid w:val="2A0B4F4C"/>
    <w:rsid w:val="2A15053B"/>
    <w:rsid w:val="2A6C52BE"/>
    <w:rsid w:val="2AC46EA9"/>
    <w:rsid w:val="2B4A1AA4"/>
    <w:rsid w:val="2CE951C2"/>
    <w:rsid w:val="2DF9330D"/>
    <w:rsid w:val="2E505623"/>
    <w:rsid w:val="2E840835"/>
    <w:rsid w:val="2E9A328C"/>
    <w:rsid w:val="2EED2E72"/>
    <w:rsid w:val="2F7215C9"/>
    <w:rsid w:val="30564A47"/>
    <w:rsid w:val="308415B4"/>
    <w:rsid w:val="311E1756"/>
    <w:rsid w:val="316867E0"/>
    <w:rsid w:val="31D53B98"/>
    <w:rsid w:val="31F167D5"/>
    <w:rsid w:val="32A90903"/>
    <w:rsid w:val="33AB6E58"/>
    <w:rsid w:val="35154772"/>
    <w:rsid w:val="35447564"/>
    <w:rsid w:val="35C351FA"/>
    <w:rsid w:val="35C506A4"/>
    <w:rsid w:val="364C2B74"/>
    <w:rsid w:val="36CC005D"/>
    <w:rsid w:val="37A278A0"/>
    <w:rsid w:val="385C6972"/>
    <w:rsid w:val="3A1F234D"/>
    <w:rsid w:val="3A2A31CC"/>
    <w:rsid w:val="3AEB0D17"/>
    <w:rsid w:val="3B7B1805"/>
    <w:rsid w:val="3D89645B"/>
    <w:rsid w:val="3E3143FD"/>
    <w:rsid w:val="3E635FF5"/>
    <w:rsid w:val="3E7013C9"/>
    <w:rsid w:val="3F32042D"/>
    <w:rsid w:val="3F577E93"/>
    <w:rsid w:val="40EF17B3"/>
    <w:rsid w:val="41CC4B69"/>
    <w:rsid w:val="42D068DB"/>
    <w:rsid w:val="432A5FEB"/>
    <w:rsid w:val="43486471"/>
    <w:rsid w:val="43EF4B3E"/>
    <w:rsid w:val="44727C49"/>
    <w:rsid w:val="44A27E03"/>
    <w:rsid w:val="44B10046"/>
    <w:rsid w:val="465869CB"/>
    <w:rsid w:val="475D4196"/>
    <w:rsid w:val="47827953"/>
    <w:rsid w:val="496438D9"/>
    <w:rsid w:val="497F0713"/>
    <w:rsid w:val="49B20AE8"/>
    <w:rsid w:val="4A2F038B"/>
    <w:rsid w:val="4A8C758B"/>
    <w:rsid w:val="4C4023DB"/>
    <w:rsid w:val="4CEA0599"/>
    <w:rsid w:val="4D752558"/>
    <w:rsid w:val="4E994025"/>
    <w:rsid w:val="4F310701"/>
    <w:rsid w:val="4FB530E0"/>
    <w:rsid w:val="50285660"/>
    <w:rsid w:val="504306EC"/>
    <w:rsid w:val="50962F12"/>
    <w:rsid w:val="50B74C36"/>
    <w:rsid w:val="50E35A2B"/>
    <w:rsid w:val="520B348B"/>
    <w:rsid w:val="528D20F2"/>
    <w:rsid w:val="52DC6BD6"/>
    <w:rsid w:val="532B6C09"/>
    <w:rsid w:val="53760DD8"/>
    <w:rsid w:val="53876B42"/>
    <w:rsid w:val="54475235"/>
    <w:rsid w:val="54C811C0"/>
    <w:rsid w:val="54CF69F2"/>
    <w:rsid w:val="54DC4C6B"/>
    <w:rsid w:val="54DE4283"/>
    <w:rsid w:val="55B220B0"/>
    <w:rsid w:val="561B17C3"/>
    <w:rsid w:val="56352885"/>
    <w:rsid w:val="571921A6"/>
    <w:rsid w:val="589D1393"/>
    <w:rsid w:val="58AB32D2"/>
    <w:rsid w:val="59527BF2"/>
    <w:rsid w:val="59CC52AE"/>
    <w:rsid w:val="5AE07DE0"/>
    <w:rsid w:val="5AF076C2"/>
    <w:rsid w:val="5B7200D7"/>
    <w:rsid w:val="5C693288"/>
    <w:rsid w:val="5C8E2CEF"/>
    <w:rsid w:val="5D804D2D"/>
    <w:rsid w:val="5E262FEA"/>
    <w:rsid w:val="5E2A2EF8"/>
    <w:rsid w:val="5E337FF2"/>
    <w:rsid w:val="5E3E24F3"/>
    <w:rsid w:val="5E483371"/>
    <w:rsid w:val="5ED54C05"/>
    <w:rsid w:val="5EE906B0"/>
    <w:rsid w:val="5F2913F5"/>
    <w:rsid w:val="5F610B8F"/>
    <w:rsid w:val="5F8A29DB"/>
    <w:rsid w:val="5FA7072F"/>
    <w:rsid w:val="5FC1162D"/>
    <w:rsid w:val="5FEB2206"/>
    <w:rsid w:val="60714E01"/>
    <w:rsid w:val="608368E3"/>
    <w:rsid w:val="6155027F"/>
    <w:rsid w:val="61B50D1E"/>
    <w:rsid w:val="61BF394A"/>
    <w:rsid w:val="628A21AA"/>
    <w:rsid w:val="64502F80"/>
    <w:rsid w:val="64B33C3A"/>
    <w:rsid w:val="65530D69"/>
    <w:rsid w:val="6598698C"/>
    <w:rsid w:val="659A6BA8"/>
    <w:rsid w:val="66E04A8F"/>
    <w:rsid w:val="67D143D7"/>
    <w:rsid w:val="67E4235D"/>
    <w:rsid w:val="68030A35"/>
    <w:rsid w:val="6994390F"/>
    <w:rsid w:val="6A4C5F97"/>
    <w:rsid w:val="6A837C0B"/>
    <w:rsid w:val="6A8B4D12"/>
    <w:rsid w:val="6A927E4E"/>
    <w:rsid w:val="6AD761A9"/>
    <w:rsid w:val="6B361121"/>
    <w:rsid w:val="6B5E5F82"/>
    <w:rsid w:val="6D6946B9"/>
    <w:rsid w:val="6E6164B5"/>
    <w:rsid w:val="6F2A4295"/>
    <w:rsid w:val="701E3F32"/>
    <w:rsid w:val="707A1AB0"/>
    <w:rsid w:val="708F6BDE"/>
    <w:rsid w:val="711848F6"/>
    <w:rsid w:val="715440AF"/>
    <w:rsid w:val="726454F7"/>
    <w:rsid w:val="72F378F8"/>
    <w:rsid w:val="736F377D"/>
    <w:rsid w:val="7422193C"/>
    <w:rsid w:val="755503F6"/>
    <w:rsid w:val="760763B8"/>
    <w:rsid w:val="762B1157"/>
    <w:rsid w:val="78782D79"/>
    <w:rsid w:val="78FD502C"/>
    <w:rsid w:val="798017B9"/>
    <w:rsid w:val="79B871A5"/>
    <w:rsid w:val="7AC202DC"/>
    <w:rsid w:val="7AF20495"/>
    <w:rsid w:val="7B161E8C"/>
    <w:rsid w:val="7CA32F54"/>
    <w:rsid w:val="7CE61D02"/>
    <w:rsid w:val="7D545437"/>
    <w:rsid w:val="7D7358BD"/>
    <w:rsid w:val="7D957F29"/>
    <w:rsid w:val="7D9656F6"/>
    <w:rsid w:val="7D9C3E74"/>
    <w:rsid w:val="7E4734E2"/>
    <w:rsid w:val="7EF649F8"/>
    <w:rsid w:val="7F1135E0"/>
    <w:rsid w:val="7F201A75"/>
    <w:rsid w:val="7F4E65E2"/>
    <w:rsid w:val="7F51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2023-12-12T10:41:00Z</dcterms:created>
  <dc:creator>Yurx.</dc:creator>
  <cp:lastModifiedBy>Yurx.</cp:lastModifiedBy>
  <dcterms:modified xsi:type="dcterms:W3CDTF">2023-12-21T05:27:21Z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000F42D9FE0A4EFB9421D554365E4522_13</vt:lpwstr>
  </property>
</Properties>
</file>